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0A0A0A"/>
          <w:sz w:val="52"/>
        </w:rPr>
        <w:t>Carlo Rondón</w:t>
      </w:r>
    </w:p>
    <w:p>
      <w:pPr>
        <w:spacing w:after="120"/>
      </w:pPr>
      <w:r>
        <w:rPr>
          <w:rFonts w:ascii="Calibri" w:hAnsi="Calibri"/>
          <w:b w:val="0"/>
          <w:i/>
          <w:color w:val="555566"/>
          <w:sz w:val="24"/>
        </w:rPr>
        <w:t>Data · Growth · Micro SaaS · IA</w:t>
      </w:r>
    </w:p>
    <w:p>
      <w:pPr>
        <w:spacing w:after="40"/>
      </w:pPr>
      <w:r>
        <w:rPr>
          <w:rFonts w:ascii="Calibri" w:hAnsi="Calibri"/>
          <w:b w:val="0"/>
          <w:i w:val="0"/>
          <w:color w:val="555566"/>
          <w:sz w:val="18"/>
        </w:rPr>
        <w:t>Lima, Perú  ·  carlorndn@gmail.com  ·  +51936735897  ·  linkedin.com/in/carlo-rondon</w:t>
      </w:r>
    </w:p>
    <w:p>
      <w:pPr>
        <w:spacing w:before="280" w:after="80"/>
        <w:pBdr>
          <w:bottom w:val="single" w:sz="4" w:space="4" w:color="DDDDDD"/>
        </w:pBdr>
      </w:pPr>
      <w:r>
        <w:rPr>
          <w:rFonts w:ascii="Calibri" w:hAnsi="Calibri"/>
          <w:b/>
          <w:i w:val="0"/>
          <w:color w:val="555566"/>
          <w:sz w:val="16"/>
        </w:rPr>
        <w:t>PERFIL</w:t>
      </w:r>
    </w:p>
    <w:p>
      <w:pPr>
        <w:spacing w:before="0" w:after="60"/>
      </w:pPr>
      <w:r>
        <w:rPr>
          <w:rFonts w:ascii="Calibri" w:hAnsi="Calibri"/>
          <w:b w:val="0"/>
          <w:color w:val="222233"/>
          <w:sz w:val="20"/>
        </w:rPr>
        <w:t>Actualmente, Ejecutivo de Banca de Grandes Empresas en BBVA Perú, opero en la intersección entre datos, tecnología y negocio financiero. Diseño arquitecturas de datos y pipelines ETL sobre la nube, construyo modelos financieros y de pricing, y traduzco esa capacidad analítica en decisiones de producto y crecimiento. Con más de seis años entre banca, fintech y consultoría —y postgrado en management más certificaciones en ciencia de datos e ingeniería de datos en AWS— entiendo el negocio tan bien como el stack que lo sostiene. En paralelo desarrollo micro-SaaS y herramientas con inteligencia artificial: automatizo procesos, integro APIs y LLMs, y lanzo soluciones digitales escalables en mercados donde la tecnología financiera aún tiene todo por construir.</w:t>
      </w:r>
    </w:p>
    <w:p>
      <w:pPr>
        <w:spacing w:before="280" w:after="80"/>
        <w:pBdr>
          <w:bottom w:val="single" w:sz="4" w:space="4" w:color="DDDDDD"/>
        </w:pBdr>
      </w:pPr>
      <w:r>
        <w:rPr>
          <w:rFonts w:ascii="Calibri" w:hAnsi="Calibri"/>
          <w:b/>
          <w:i w:val="0"/>
          <w:color w:val="555566"/>
          <w:sz w:val="16"/>
        </w:rPr>
        <w:t>EXPERIENCIA PROFESIONAL</w:t>
      </w:r>
    </w:p>
    <w:p>
      <w:pPr>
        <w:spacing w:before="200" w:after="40"/>
      </w:pPr>
      <w:r>
        <w:rPr>
          <w:rFonts w:ascii="Calibri" w:hAnsi="Calibri"/>
          <w:b/>
          <w:i w:val="0"/>
          <w:color w:val="0A0A0A"/>
          <w:sz w:val="24"/>
        </w:rPr>
        <w:t>BBVA Perú</w:t>
      </w:r>
      <w:r>
        <w:rPr>
          <w:rFonts w:ascii="Calibri" w:hAnsi="Calibri"/>
          <w:b w:val="0"/>
          <w:i w:val="0"/>
          <w:color w:val="555566"/>
          <w:sz w:val="18"/>
        </w:rPr>
        <w:t xml:space="preserve">   Mayo 2022 – Actualidad  ·  3 años+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Cash Management Executive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Banca Grandes Empresas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555566"/>
          <w:sz w:val="18"/>
        </w:rPr>
        <w:t>Mar 2026 – Actualidad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Corporativo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Grandes empresas del Perú</w:t>
            </w:r>
          </w:p>
        </w:tc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Modelos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Financieros avanzados</w:t>
            </w:r>
          </w:p>
        </w:tc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C-level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Nivel de interlocución</w:t>
            </w:r>
          </w:p>
        </w:tc>
      </w:tr>
    </w:tbl>
    <w:p/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Diseño y construcción de </w:t>
      </w:r>
      <w:r>
        <w:rPr>
          <w:rFonts w:ascii="Calibri" w:hAnsi="Calibri"/>
          <w:b/>
          <w:color w:val="0A0A0A"/>
          <w:sz w:val="20"/>
        </w:rPr>
        <w:t>modelos financieros</w:t>
      </w:r>
      <w:r>
        <w:rPr>
          <w:rFonts w:ascii="Calibri" w:hAnsi="Calibri"/>
          <w:b w:val="0"/>
          <w:color w:val="222233"/>
          <w:sz w:val="20"/>
        </w:rPr>
        <w:t xml:space="preserve"> para cartera Gran Empresa, proyectando escenarios de ROI y colocación de productos cash in/out que impulsan la digitalización e ingresos transaccionales.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>Gestión ejecutiva de relación con las principales empresas del mercado peruano, presentando soluciones financieras integradas a comités directivos.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Payments &amp; Loyalty Associate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Dic 2025 – Mar 2026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+20,000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Clientes activos</w:t>
            </w:r>
          </w:p>
        </w:tc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Exponencial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Crecimiento en cash in</w:t>
            </w:r>
          </w:p>
        </w:tc>
        <w:tc>
          <w:tcPr>
            <w:tcW w:type="dxa" w:w="3135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Elasticidad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Análisis de pricing</w:t>
            </w:r>
          </w:p>
        </w:tc>
      </w:tr>
    </w:tbl>
    <w:p/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Optimización del </w:t>
      </w:r>
      <w:r>
        <w:rPr>
          <w:rFonts w:ascii="Calibri" w:hAnsi="Calibri"/>
          <w:b/>
          <w:color w:val="0A0A0A"/>
          <w:sz w:val="20"/>
        </w:rPr>
        <w:t>modelo de precios y promociones</w:t>
      </w:r>
      <w:r>
        <w:rPr>
          <w:rFonts w:ascii="Calibri" w:hAnsi="Calibri"/>
          <w:b w:val="0"/>
          <w:color w:val="222233"/>
          <w:sz w:val="20"/>
        </w:rPr>
        <w:t xml:space="preserve"> del negocio de payments mediante análisis de elasticidad de demanda y segmentación avanzada de clientes, maximizando conversión y activación.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Senior Data &amp; Commercial Analyst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Openpay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555566"/>
          <w:sz w:val="18"/>
        </w:rPr>
        <w:t>Mar 2025 – Dic 2025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Elaboración de </w:t>
      </w:r>
      <w:r>
        <w:rPr>
          <w:rFonts w:ascii="Calibri" w:hAnsi="Calibri"/>
          <w:b/>
          <w:color w:val="0A0A0A"/>
          <w:sz w:val="20"/>
        </w:rPr>
        <w:t>business cases para clientes estratégicos</w:t>
      </w:r>
      <w:r>
        <w:rPr>
          <w:rFonts w:ascii="Calibri" w:hAnsi="Calibri"/>
          <w:b w:val="0"/>
          <w:color w:val="222233"/>
          <w:sz w:val="20"/>
        </w:rPr>
        <w:t xml:space="preserve"> y presentaciones a directorios C-level locales e internacionales, sustentando decisiones de inversión y expansión del negocio fintech.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Coordinación autónoma de </w:t>
      </w:r>
      <w:r>
        <w:rPr>
          <w:rFonts w:ascii="Calibri" w:hAnsi="Calibri"/>
          <w:b/>
          <w:color w:val="0A0A0A"/>
          <w:sz w:val="20"/>
        </w:rPr>
        <w:t>equipos transversales</w:t>
      </w:r>
      <w:r>
        <w:rPr>
          <w:rFonts w:ascii="Calibri" w:hAnsi="Calibri"/>
          <w:b w:val="0"/>
          <w:color w:val="222233"/>
          <w:sz w:val="20"/>
        </w:rPr>
        <w:t xml:space="preserve"> (tecnología, marketing, operaciones) para la ejecución de automatizaciones e iniciativas comerciales de alto impacto.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Data &amp; Commercial Analyst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Openpay</w:t>
      </w:r>
    </w:p>
    <w:p>
      <w:pPr>
        <w:spacing w:before="0" w:after="80"/>
      </w:pPr>
      <w:r>
        <w:rPr>
          <w:rFonts w:ascii="Calibri" w:hAnsi="Calibri"/>
          <w:b w:val="0"/>
          <w:i w:val="0"/>
          <w:color w:val="555566"/>
          <w:sz w:val="18"/>
        </w:rPr>
        <w:t>Mayo 2022 – Mar 2025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Liderazgo autónomo del </w:t>
      </w:r>
      <w:r>
        <w:rPr>
          <w:rFonts w:ascii="Calibri" w:hAnsi="Calibri"/>
          <w:b/>
          <w:color w:val="0A0A0A"/>
          <w:sz w:val="20"/>
        </w:rPr>
        <w:t>proyecto de arquitectura de datos de Openpay</w:t>
      </w:r>
      <w:r>
        <w:rPr>
          <w:rFonts w:ascii="Calibri" w:hAnsi="Calibri"/>
          <w:b w:val="0"/>
          <w:color w:val="222233"/>
          <w:sz w:val="20"/>
        </w:rPr>
        <w:t>: diseño e implementación de pipelines ETL que cumplieron los estándares de gobierno de datos bancario, superando los tiempos de entrega durante una etapa de hipercrecimiento.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Automatización de procesos de datos que redujeron tiempos de reporte y habilitaron </w:t>
      </w:r>
      <w:r>
        <w:rPr>
          <w:rFonts w:ascii="Calibri" w:hAnsi="Calibri"/>
          <w:b/>
          <w:color w:val="0A0A0A"/>
          <w:sz w:val="20"/>
        </w:rPr>
        <w:t>análisis en tiempo real</w:t>
      </w:r>
      <w:r>
        <w:rPr>
          <w:rFonts w:ascii="Calibri" w:hAnsi="Calibri"/>
          <w:b w:val="0"/>
          <w:color w:val="222233"/>
          <w:sz w:val="20"/>
        </w:rPr>
        <w:t xml:space="preserve"> para la toma de decisiones comerciales.</w:t>
      </w:r>
    </w:p>
    <w:p>
      <w:pPr>
        <w:spacing w:before="120" w:after="40"/>
      </w:pPr>
      <w:r>
        <w:rPr>
          <w:rFonts w:ascii="Calibri" w:hAnsi="Calibri"/>
          <w:b/>
          <w:i w:val="0"/>
          <w:color w:val="555566"/>
          <w:sz w:val="18"/>
        </w:rPr>
        <w:t xml:space="preserve">Skills: </w:t>
      </w:r>
      <w:r>
        <w:rPr>
          <w:rFonts w:ascii="Calibri" w:hAnsi="Calibri"/>
          <w:b w:val="0"/>
          <w:i w:val="0"/>
          <w:color w:val="555566"/>
          <w:sz w:val="18"/>
        </w:rPr>
        <w:t>SQL  ·  Python  ·  Power BI  ·  AWS  ·  ETL  ·  Modelado financiero  ·  Pricing  ·  Salesforce</w:t>
      </w:r>
    </w:p>
    <w:p>
      <w:pPr>
        <w:spacing w:before="200" w:after="40"/>
      </w:pPr>
      <w:r>
        <w:rPr>
          <w:rFonts w:ascii="Calibri" w:hAnsi="Calibri"/>
          <w:b/>
          <w:i w:val="0"/>
          <w:color w:val="0A0A0A"/>
          <w:sz w:val="24"/>
        </w:rPr>
        <w:t>PwC Perú</w:t>
      </w:r>
      <w:r>
        <w:rPr>
          <w:rFonts w:ascii="Calibri" w:hAnsi="Calibri"/>
          <w:b w:val="0"/>
          <w:i w:val="0"/>
          <w:color w:val="555566"/>
          <w:sz w:val="18"/>
        </w:rPr>
        <w:t xml:space="preserve">   Septiembre 2019 – Mayo 2022  ·  2a 8m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Business Intelligence Associate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Ago 2020 – Mayo 2022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Top 10%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Desempeño firma (2019–2020)</w:t>
            </w:r>
          </w:p>
        </w:tc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+10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Iniciativas de datos lideradas</w:t>
            </w:r>
          </w:p>
        </w:tc>
      </w:tr>
    </w:tbl>
    <w:p/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Liderazgo de </w:t>
      </w:r>
      <w:r>
        <w:rPr>
          <w:rFonts w:ascii="Calibri" w:hAnsi="Calibri"/>
          <w:b/>
          <w:color w:val="0A0A0A"/>
          <w:sz w:val="20"/>
        </w:rPr>
        <w:t>más de 10 iniciativas comerciales y de datos</w:t>
      </w:r>
      <w:r>
        <w:rPr>
          <w:rFonts w:ascii="Calibri" w:hAnsi="Calibri"/>
          <w:b w:val="0"/>
          <w:color w:val="222233"/>
          <w:sz w:val="20"/>
        </w:rPr>
        <w:t>, incrementando significativamente la detección de oportunidades para las líneas de servicio de la firma.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Soporte analítico y comercial a Auditoría, </w:t>
      </w:r>
      <w:r>
        <w:rPr>
          <w:rFonts w:ascii="Calibri" w:hAnsi="Calibri"/>
          <w:b/>
          <w:color w:val="0A0A0A"/>
          <w:sz w:val="20"/>
        </w:rPr>
        <w:t>principal línea de ingresos de PwC Perú</w:t>
      </w:r>
      <w:r>
        <w:rPr>
          <w:rFonts w:ascii="Calibri" w:hAnsi="Calibri"/>
          <w:b w:val="0"/>
          <w:color w:val="222233"/>
          <w:sz w:val="20"/>
        </w:rPr>
        <w:t>, en el diseño e implementación de estrategias de crecimiento.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Reconocido con </w:t>
      </w:r>
      <w:r>
        <w:rPr>
          <w:rFonts w:ascii="Calibri" w:hAnsi="Calibri"/>
          <w:b/>
          <w:color w:val="0A0A0A"/>
          <w:sz w:val="20"/>
        </w:rPr>
        <w:t>desempeño superior al percentil 90</w:t>
      </w:r>
      <w:r>
        <w:rPr>
          <w:rFonts w:ascii="Calibri" w:hAnsi="Calibri"/>
          <w:b w:val="0"/>
          <w:color w:val="222233"/>
          <w:sz w:val="20"/>
        </w:rPr>
        <w:t xml:space="preserve"> de la firma durante dos años consecutivos (2019 y 2020).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Business Expansion Intern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Sep 2019 – Ago 2020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+700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Colaboradores capacitados</w:t>
            </w:r>
          </w:p>
        </w:tc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Nacional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Alcance del proyecto Salesforce</w:t>
            </w:r>
          </w:p>
        </w:tc>
      </w:tr>
    </w:tbl>
    <w:p/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Liderazgo de la </w:t>
      </w:r>
      <w:r>
        <w:rPr>
          <w:rFonts w:ascii="Calibri" w:hAnsi="Calibri"/>
          <w:b/>
          <w:color w:val="0A0A0A"/>
          <w:sz w:val="20"/>
        </w:rPr>
        <w:t>migración a Salesforce</w:t>
      </w:r>
      <w:r>
        <w:rPr>
          <w:rFonts w:ascii="Calibri" w:hAnsi="Calibri"/>
          <w:b w:val="0"/>
          <w:color w:val="222233"/>
          <w:sz w:val="20"/>
        </w:rPr>
        <w:t xml:space="preserve"> a nivel Perú, diseñando el plan de capacitación y formando a más de 700 colaboradores de la firma en el nuevo sistema CRM.</w:t>
      </w:r>
    </w:p>
    <w:p>
      <w:pPr>
        <w:spacing w:before="120" w:after="40"/>
      </w:pPr>
      <w:r>
        <w:rPr>
          <w:rFonts w:ascii="Calibri" w:hAnsi="Calibri"/>
          <w:b/>
          <w:i w:val="0"/>
          <w:color w:val="555566"/>
          <w:sz w:val="18"/>
        </w:rPr>
        <w:t xml:space="preserve">Skills: </w:t>
      </w:r>
      <w:r>
        <w:rPr>
          <w:rFonts w:ascii="Calibri" w:hAnsi="Calibri"/>
          <w:b w:val="0"/>
          <w:i w:val="0"/>
          <w:color w:val="555566"/>
          <w:sz w:val="18"/>
        </w:rPr>
        <w:t>Business Intelligence  ·  Análisis comercial  ·  Salesforce  ·  Consultoría</w:t>
      </w:r>
    </w:p>
    <w:p>
      <w:pPr>
        <w:spacing w:before="200" w:after="40"/>
      </w:pPr>
      <w:r>
        <w:rPr>
          <w:rFonts w:ascii="Calibri" w:hAnsi="Calibri"/>
          <w:b/>
          <w:i w:val="0"/>
          <w:color w:val="0A0A0A"/>
          <w:sz w:val="24"/>
        </w:rPr>
        <w:t>Scotiabank Perú</w:t>
      </w:r>
      <w:r>
        <w:rPr>
          <w:rFonts w:ascii="Calibri" w:hAnsi="Calibri"/>
          <w:b w:val="0"/>
          <w:i w:val="0"/>
          <w:color w:val="555566"/>
          <w:sz w:val="18"/>
        </w:rPr>
        <w:t xml:space="preserve">   Febrero – Octubre 2019  ·  9 meses</w:t>
      </w:r>
    </w:p>
    <w:p>
      <w:pPr>
        <w:spacing w:before="160" w:after="40"/>
      </w:pPr>
      <w:r>
        <w:rPr>
          <w:rFonts w:ascii="Calibri" w:hAnsi="Calibri"/>
          <w:b/>
          <w:i w:val="0"/>
          <w:color w:val="0A0A0A"/>
          <w:sz w:val="22"/>
        </w:rPr>
        <w:t>Customer Experience Intern</w:t>
      </w:r>
      <w:r>
        <w:t xml:space="preserve">  </w:t>
      </w:r>
      <w:r>
        <w:rPr>
          <w:rFonts w:ascii="Calibri" w:hAnsi="Calibri"/>
          <w:b w:val="0"/>
          <w:i/>
          <w:color w:val="555566"/>
          <w:sz w:val="18"/>
        </w:rPr>
        <w:t>Feb – Oct 2019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5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Iniciativas de mejora CX</w:t>
            </w:r>
          </w:p>
        </w:tc>
        <w:tc>
          <w:tcPr>
            <w:tcW w:type="dxa" w:w="4703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shd w:val="clear" w:color="auto" w:fill="F5F5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A0A0A"/>
                <w:sz w:val="22"/>
              </w:rPr>
              <w:t>Retail &amp; Wholesale</w:t>
            </w:r>
          </w:p>
          <w:p>
            <w:pPr>
              <w:spacing w:before="20" w:after="0"/>
            </w:pPr>
            <w:r>
              <w:rPr>
                <w:rFonts w:ascii="Calibri" w:hAnsi="Calibri"/>
                <w:b w:val="0"/>
                <w:i w:val="0"/>
                <w:color w:val="555566"/>
                <w:sz w:val="16"/>
              </w:rPr>
              <w:t>Segmentos de clientes</w:t>
            </w:r>
          </w:p>
        </w:tc>
      </w:tr>
    </w:tbl>
    <w:p/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Diseño de </w:t>
      </w:r>
      <w:r>
        <w:rPr>
          <w:rFonts w:ascii="Calibri" w:hAnsi="Calibri"/>
          <w:b/>
          <w:color w:val="0A0A0A"/>
          <w:sz w:val="20"/>
        </w:rPr>
        <w:t>métricas de fidelización</w:t>
      </w:r>
      <w:r>
        <w:rPr>
          <w:rFonts w:ascii="Calibri" w:hAnsi="Calibri"/>
          <w:b w:val="0"/>
          <w:color w:val="222233"/>
          <w:sz w:val="20"/>
        </w:rPr>
        <w:t xml:space="preserve"> para segmentos retail y wholesale, evaluando el impacto de campañas sobre la base de clientes del banco.</w:t>
      </w:r>
    </w:p>
    <w:p>
      <w:pPr>
        <w:pStyle w:val="ListBullet"/>
        <w:spacing w:before="20" w:after="20"/>
        <w:ind w:left="283"/>
      </w:pPr>
      <w:r>
        <w:rPr>
          <w:rFonts w:ascii="Calibri" w:hAnsi="Calibri"/>
          <w:b w:val="0"/>
          <w:color w:val="222233"/>
          <w:sz w:val="20"/>
        </w:rPr>
        <w:t xml:space="preserve">Participación activa en </w:t>
      </w:r>
      <w:r>
        <w:rPr>
          <w:rFonts w:ascii="Calibri" w:hAnsi="Calibri"/>
          <w:b/>
          <w:color w:val="0A0A0A"/>
          <w:sz w:val="20"/>
        </w:rPr>
        <w:t>5 iniciativas exitosas</w:t>
      </w:r>
      <w:r>
        <w:rPr>
          <w:rFonts w:ascii="Calibri" w:hAnsi="Calibri"/>
          <w:b w:val="0"/>
          <w:color w:val="222233"/>
          <w:sz w:val="20"/>
        </w:rPr>
        <w:t xml:space="preserve"> de mejora de experiencia del cliente.</w:t>
      </w:r>
    </w:p>
    <w:p>
      <w:pPr>
        <w:spacing w:before="280" w:after="80"/>
        <w:pBdr>
          <w:bottom w:val="single" w:sz="4" w:space="4" w:color="DDDDDD"/>
        </w:pBdr>
      </w:pPr>
      <w:r>
        <w:rPr>
          <w:rFonts w:ascii="Calibri" w:hAnsi="Calibri"/>
          <w:b/>
          <w:i w:val="0"/>
          <w:color w:val="555566"/>
          <w:sz w:val="16"/>
        </w:rPr>
        <w:t>EDUCACIÓN</w:t>
      </w:r>
    </w:p>
    <w:p>
      <w:pPr>
        <w:spacing w:before="120" w:after="20"/>
      </w:pPr>
      <w:r>
        <w:rPr>
          <w:rFonts w:ascii="Calibri" w:hAnsi="Calibri"/>
          <w:b/>
          <w:i w:val="0"/>
          <w:color w:val="0A0A0A"/>
          <w:sz w:val="22"/>
        </w:rPr>
        <w:t>Master in Management</w:t>
      </w:r>
    </w:p>
    <w:p>
      <w:pPr>
        <w:spacing w:before="0" w:after="40"/>
      </w:pPr>
      <w:r>
        <w:rPr>
          <w:rFonts w:ascii="Calibri" w:hAnsi="Calibri"/>
          <w:b w:val="0"/>
          <w:i w:val="0"/>
          <w:color w:val="555566"/>
          <w:sz w:val="18"/>
        </w:rPr>
        <w:t>Pacífico Business School · Lima, Perú  ·  Postgrado · 2024</w:t>
      </w:r>
    </w:p>
    <w:p>
      <w:pPr>
        <w:spacing w:before="120" w:after="20"/>
      </w:pPr>
      <w:r>
        <w:rPr>
          <w:rFonts w:ascii="Calibri" w:hAnsi="Calibri"/>
          <w:b/>
          <w:i w:val="0"/>
          <w:color w:val="0A0A0A"/>
          <w:sz w:val="22"/>
        </w:rPr>
        <w:t>Bachiller en Marketing</w:t>
      </w:r>
    </w:p>
    <w:p>
      <w:pPr>
        <w:spacing w:before="0" w:after="40"/>
      </w:pPr>
      <w:r>
        <w:rPr>
          <w:rFonts w:ascii="Calibri" w:hAnsi="Calibri"/>
          <w:b w:val="0"/>
          <w:i w:val="0"/>
          <w:color w:val="555566"/>
          <w:sz w:val="18"/>
        </w:rPr>
        <w:t>Universidad del Pacífico · Lima, Perú  ·  Pregrado · 2021</w:t>
      </w:r>
    </w:p>
    <w:p>
      <w:pPr>
        <w:spacing w:before="280" w:after="80"/>
        <w:pBdr>
          <w:bottom w:val="single" w:sz="4" w:space="4" w:color="DDDDDD"/>
        </w:pBdr>
      </w:pPr>
      <w:r>
        <w:rPr>
          <w:rFonts w:ascii="Calibri" w:hAnsi="Calibri"/>
          <w:b/>
          <w:i w:val="0"/>
          <w:color w:val="555566"/>
          <w:sz w:val="16"/>
        </w:rPr>
        <w:t>CERTIFICACIONES</w:t>
      </w:r>
    </w:p>
    <w:p>
      <w:pPr>
        <w:spacing w:before="60" w:after="20"/>
      </w:pPr>
      <w:r>
        <w:rPr>
          <w:rFonts w:ascii="Calibri" w:hAnsi="Calibri"/>
          <w:b/>
          <w:i w:val="0"/>
          <w:color w:val="16A34A"/>
          <w:sz w:val="18"/>
        </w:rPr>
        <w:t xml:space="preserve">[✓]  </w:t>
      </w:r>
      <w:r>
        <w:rPr>
          <w:rFonts w:ascii="Calibri" w:hAnsi="Calibri"/>
          <w:b/>
          <w:i w:val="0"/>
          <w:color w:val="0A0A0A"/>
          <w:sz w:val="20"/>
        </w:rPr>
        <w:t>Data Specialist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BBVA University · 2024</w:t>
      </w:r>
    </w:p>
    <w:p>
      <w:pPr>
        <w:spacing w:before="60" w:after="20"/>
      </w:pPr>
      <w:r>
        <w:rPr>
          <w:rFonts w:ascii="Calibri" w:hAnsi="Calibri"/>
          <w:b/>
          <w:i w:val="0"/>
          <w:color w:val="16A34A"/>
          <w:sz w:val="18"/>
        </w:rPr>
        <w:t xml:space="preserve">[✓]  </w:t>
      </w:r>
      <w:r>
        <w:rPr>
          <w:rFonts w:ascii="Calibri" w:hAnsi="Calibri"/>
          <w:b/>
          <w:i w:val="0"/>
          <w:color w:val="0A0A0A"/>
          <w:sz w:val="20"/>
        </w:rPr>
        <w:t>SQL for Data Science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UCLA Extension · 2022</w:t>
      </w:r>
    </w:p>
    <w:p>
      <w:pPr>
        <w:spacing w:before="60" w:after="20"/>
      </w:pPr>
      <w:r>
        <w:rPr>
          <w:rFonts w:ascii="Calibri" w:hAnsi="Calibri"/>
          <w:b/>
          <w:i w:val="0"/>
          <w:color w:val="16A34A"/>
          <w:sz w:val="18"/>
        </w:rPr>
        <w:t xml:space="preserve">[✓]  </w:t>
      </w:r>
      <w:r>
        <w:rPr>
          <w:rFonts w:ascii="Calibri" w:hAnsi="Calibri"/>
          <w:b/>
          <w:i w:val="0"/>
          <w:color w:val="0A0A0A"/>
          <w:sz w:val="20"/>
        </w:rPr>
        <w:t>Professional Certificate in Data Science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IBM · 2020</w:t>
      </w:r>
    </w:p>
    <w:p>
      <w:pPr>
        <w:spacing w:before="60" w:after="20"/>
      </w:pPr>
      <w:r>
        <w:rPr>
          <w:rFonts w:ascii="Calibri" w:hAnsi="Calibri"/>
          <w:b/>
          <w:i w:val="0"/>
          <w:color w:val="16A34A"/>
          <w:sz w:val="18"/>
        </w:rPr>
        <w:t xml:space="preserve">[✓]  </w:t>
      </w:r>
      <w:r>
        <w:rPr>
          <w:rFonts w:ascii="Calibri" w:hAnsi="Calibri"/>
          <w:b/>
          <w:i w:val="0"/>
          <w:color w:val="0A0A0A"/>
          <w:sz w:val="20"/>
        </w:rPr>
        <w:t>Big Data &amp; Cloud Analytics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Kedge Business School · 2020</w:t>
      </w:r>
    </w:p>
    <w:p>
      <w:pPr>
        <w:spacing w:before="60" w:after="20"/>
      </w:pPr>
      <w:r>
        <w:rPr>
          <w:rFonts w:ascii="Calibri" w:hAnsi="Calibri"/>
          <w:b/>
          <w:i w:val="0"/>
          <w:color w:val="B45E09"/>
          <w:sz w:val="18"/>
        </w:rPr>
        <w:t xml:space="preserve">[En curso]  </w:t>
      </w:r>
      <w:r>
        <w:rPr>
          <w:rFonts w:ascii="Calibri" w:hAnsi="Calibri"/>
          <w:b/>
          <w:i w:val="0"/>
          <w:color w:val="0A0A0A"/>
          <w:sz w:val="20"/>
        </w:rPr>
        <w:t>Microsoft PL-300 · Power BI Data Analyst Associate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Microsoft · 2025</w:t>
      </w:r>
    </w:p>
    <w:p>
      <w:pPr>
        <w:spacing w:before="60" w:after="20"/>
      </w:pPr>
      <w:r>
        <w:rPr>
          <w:rFonts w:ascii="Calibri" w:hAnsi="Calibri"/>
          <w:b/>
          <w:i w:val="0"/>
          <w:color w:val="B45E09"/>
          <w:sz w:val="18"/>
        </w:rPr>
        <w:t xml:space="preserve">[En curso]  </w:t>
      </w:r>
      <w:r>
        <w:rPr>
          <w:rFonts w:ascii="Calibri" w:hAnsi="Calibri"/>
          <w:b/>
          <w:i w:val="0"/>
          <w:color w:val="0A0A0A"/>
          <w:sz w:val="20"/>
        </w:rPr>
        <w:t>Google Analytics 4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Google Skillshop · 2025</w:t>
      </w:r>
    </w:p>
    <w:p>
      <w:pPr>
        <w:spacing w:before="60" w:after="20"/>
      </w:pPr>
      <w:r>
        <w:rPr>
          <w:rFonts w:ascii="Calibri" w:hAnsi="Calibri"/>
          <w:b/>
          <w:i w:val="0"/>
          <w:color w:val="B45E09"/>
          <w:sz w:val="18"/>
        </w:rPr>
        <w:t xml:space="preserve">[En curso]  </w:t>
      </w:r>
      <w:r>
        <w:rPr>
          <w:rFonts w:ascii="Calibri" w:hAnsi="Calibri"/>
          <w:b/>
          <w:i w:val="0"/>
          <w:color w:val="0A0A0A"/>
          <w:sz w:val="20"/>
        </w:rPr>
        <w:t>AWS Certified Data Engineer – Associate (DEA-C01)</w:t>
      </w:r>
      <w:r>
        <w:rPr>
          <w:rFonts w:ascii="Calibri" w:hAnsi="Calibri"/>
          <w:b w:val="0"/>
          <w:i w:val="0"/>
          <w:color w:val="555566"/>
          <w:sz w:val="18"/>
        </w:rPr>
        <w:t xml:space="preserve">  —  Amazon · 2025</w:t>
      </w:r>
    </w:p>
    <w:p>
      <w:pPr>
        <w:spacing w:before="280" w:after="80"/>
        <w:pBdr>
          <w:bottom w:val="single" w:sz="4" w:space="4" w:color="DDDDDD"/>
        </w:pBdr>
      </w:pPr>
      <w:r>
        <w:rPr>
          <w:rFonts w:ascii="Calibri" w:hAnsi="Calibri"/>
          <w:b/>
          <w:i w:val="0"/>
          <w:color w:val="555566"/>
          <w:sz w:val="16"/>
        </w:rPr>
        <w:t>IDIOMAS</w:t>
      </w:r>
    </w:p>
    <w:p>
      <w:pPr>
        <w:spacing w:before="80" w:after="20"/>
      </w:pPr>
      <w:r>
        <w:rPr>
          <w:rFonts w:ascii="Calibri" w:hAnsi="Calibri"/>
          <w:b/>
          <w:i w:val="0"/>
          <w:color w:val="0A0A0A"/>
          <w:sz w:val="20"/>
        </w:rPr>
        <w:t>Español  —  Nativo</w:t>
      </w:r>
    </w:p>
    <w:p>
      <w:pPr>
        <w:spacing w:before="80" w:after="20"/>
      </w:pPr>
      <w:r>
        <w:rPr>
          <w:rFonts w:ascii="Calibri" w:hAnsi="Calibri"/>
          <w:b/>
          <w:i w:val="0"/>
          <w:color w:val="0A0A0A"/>
          <w:sz w:val="20"/>
        </w:rPr>
        <w:t>Inglés  —  Profesional</w:t>
      </w:r>
      <w:r>
        <w:rPr>
          <w:rFonts w:ascii="Calibri" w:hAnsi="Calibri"/>
          <w:b w:val="0"/>
          <w:i/>
          <w:color w:val="555566"/>
          <w:sz w:val="18"/>
        </w:rPr>
        <w:t xml:space="preserve">  (IELTS Academic Band 7.0)</w:t>
      </w:r>
    </w:p>
    <w:p>
      <w:pPr>
        <w:spacing w:before="80" w:after="20"/>
      </w:pPr>
      <w:r>
        <w:rPr>
          <w:rFonts w:ascii="Calibri" w:hAnsi="Calibri"/>
          <w:b/>
          <w:i w:val="0"/>
          <w:color w:val="0A0A0A"/>
          <w:sz w:val="20"/>
        </w:rPr>
        <w:t>Italiano  —  Conversacional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